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tl w:val="0"/>
        </w:rPr>
        <w:t xml:space="preserve">4) La vie dans 20 ans</w:t>
      </w:r>
    </w:p>
    <w:p w:rsidP="00000000" w:rsidRPr="00000000" w:rsidR="00000000" w:rsidDel="00000000" w:rsidRDefault="00000000">
      <w:pPr>
        <w:contextualSpacing w:val="0"/>
      </w:pPr>
      <w:r w:rsidRPr="00000000" w:rsidR="00000000" w:rsidDel="00000000">
        <w:rPr>
          <w:rtl w:val="0"/>
        </w:rPr>
        <w:t xml:space="preserve">Period 6</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Dans 20 ans, ma vie sera très bonne. J’habiterai dans une belle maison en Floride. Quand je gagnerai beaucoup d’argent, je ferai un vaccin de remède contre le cancer.  Je serai un docteur très connu pour mon travail avec le cancer. Je me marierai avec une femme qui sera très intelligente et docteur aussi. J’aurai un avion parce que je voudrais voyager en France, au Canada, et en Suisse.  Si mes amis veulent, ils pourront voyager dans mon avion aussi. Quand je serai très riche, je donnerai beaucoup d’argent aux enfants en Afrique. Si ma vie est comme ça dans 20 ans, je serai très content.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Ma Vie dans 20 ans.docx</dc:title>
</cp:coreProperties>
</file>